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EB1C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70" w:lineRule="exact"/>
        <w:jc w:val="both"/>
        <w:textAlignment w:val="baseline"/>
        <w:rPr>
          <w:rFonts w:hint="default" w:ascii="方正小标宋_GBK" w:hAnsi="方正小标宋_GBK" w:eastAsia="方正小标宋_GBK"/>
          <w:b w:val="0"/>
          <w:i w:val="0"/>
          <w:caps w:val="0"/>
          <w:color w:val="auto"/>
          <w:spacing w:val="0"/>
          <w:w w:val="100"/>
          <w:sz w:val="44"/>
          <w:szCs w:val="44"/>
          <w:lang w:val="en-US" w:eastAsia="zh-CN"/>
        </w:rPr>
      </w:pPr>
      <w:bookmarkStart w:id="0" w:name="_GoBack"/>
    </w:p>
    <w:p w14:paraId="7A2989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70" w:lineRule="exact"/>
        <w:ind w:firstLine="2200" w:firstLineChars="500"/>
        <w:jc w:val="both"/>
        <w:textAlignment w:val="baseline"/>
        <w:rPr>
          <w:rFonts w:ascii="方正小标宋_GBK" w:hAnsi="方正小标宋_GBK" w:eastAsia="方正小标宋_GBK"/>
          <w:b w:val="0"/>
          <w:i w:val="0"/>
          <w:caps w:val="0"/>
          <w:color w:val="auto"/>
          <w:spacing w:val="0"/>
          <w:w w:val="100"/>
          <w:sz w:val="44"/>
          <w:szCs w:val="44"/>
        </w:rPr>
      </w:pPr>
      <w:r>
        <w:rPr>
          <w:rFonts w:hint="eastAsia" w:ascii="方正小标宋_GBK" w:hAnsi="方正小标宋_GBK" w:eastAsia="方正小标宋_GBK"/>
          <w:b w:val="0"/>
          <w:i w:val="0"/>
          <w:caps w:val="0"/>
          <w:color w:val="auto"/>
          <w:spacing w:val="0"/>
          <w:w w:val="100"/>
          <w:sz w:val="44"/>
          <w:szCs w:val="44"/>
        </w:rPr>
        <w:t>统筹城乡教育发展研究中心</w:t>
      </w:r>
    </w:p>
    <w:p w14:paraId="4C37A2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70" w:lineRule="exact"/>
        <w:ind w:left="-199" w:leftChars="-95" w:firstLine="198" w:firstLineChars="45"/>
        <w:jc w:val="center"/>
        <w:textAlignment w:val="baseline"/>
        <w:rPr>
          <w:rFonts w:ascii="方正小标宋_GBK" w:hAnsi="方正小标宋_GBK" w:eastAsia="方正小标宋_GBK"/>
          <w:b w:val="0"/>
          <w:i w:val="0"/>
          <w:caps w:val="0"/>
          <w:color w:val="auto"/>
          <w:spacing w:val="0"/>
          <w:w w:val="100"/>
          <w:sz w:val="44"/>
          <w:szCs w:val="44"/>
        </w:rPr>
      </w:pPr>
      <w:r>
        <w:rPr>
          <w:rFonts w:hint="eastAsia" w:eastAsia="方正小标宋_GBK"/>
          <w:b w:val="0"/>
          <w:i w:val="0"/>
          <w:caps w:val="0"/>
          <w:color w:val="auto"/>
          <w:spacing w:val="0"/>
          <w:w w:val="100"/>
          <w:sz w:val="44"/>
          <w:szCs w:val="44"/>
        </w:rPr>
        <w:t>202</w:t>
      </w:r>
      <w:r>
        <w:rPr>
          <w:rFonts w:hint="eastAsia" w:eastAsia="方正小标宋_GBK"/>
          <w:b w:val="0"/>
          <w:i w:val="0"/>
          <w:caps w:val="0"/>
          <w:color w:val="auto"/>
          <w:spacing w:val="0"/>
          <w:w w:val="100"/>
          <w:sz w:val="44"/>
          <w:szCs w:val="44"/>
          <w:lang w:val="en-US" w:eastAsia="zh-CN"/>
        </w:rPr>
        <w:t>6</w:t>
      </w:r>
      <w:r>
        <w:rPr>
          <w:rFonts w:hint="eastAsia" w:ascii="方正小标宋_GBK" w:hAnsi="方正小标宋_GBK" w:eastAsia="方正小标宋_GBK"/>
          <w:b w:val="0"/>
          <w:i w:val="0"/>
          <w:caps w:val="0"/>
          <w:color w:val="auto"/>
          <w:spacing w:val="0"/>
          <w:w w:val="100"/>
          <w:sz w:val="44"/>
          <w:szCs w:val="44"/>
        </w:rPr>
        <w:t>年度课题指南</w:t>
      </w:r>
    </w:p>
    <w:p w14:paraId="6D60CD39">
      <w:pPr>
        <w:keepNext w:val="0"/>
        <w:keepLines w:val="0"/>
        <w:pageBreakBefore w:val="0"/>
        <w:widowControl w:val="0"/>
        <w:pBdr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70" w:lineRule="exact"/>
        <w:jc w:val="center"/>
        <w:textAlignment w:val="baseline"/>
        <w:rPr>
          <w:rFonts w:ascii="方正仿宋_GBK" w:eastAsia="方正仿宋_GBK"/>
          <w:b/>
          <w:bCs/>
          <w:i w:val="0"/>
          <w:caps w:val="0"/>
          <w:color w:val="auto"/>
          <w:spacing w:val="0"/>
          <w:w w:val="100"/>
          <w:sz w:val="36"/>
          <w:szCs w:val="44"/>
        </w:rPr>
      </w:pPr>
    </w:p>
    <w:p w14:paraId="60CD3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统筹城乡教育发展研究中心年度课题包括重点课题、一般课题、校本研究专项课题、自筹课题。选题指南分为重点条目和重要方向两类。申报重点课题必须从相应条目中选择，自拟选题不予受理。如确有需要，可对选题进行适当微调，但不得大幅压缩或改变研究内容。一般课题、校本研究专项课题、自筹课题从重要方向中选择，</w:t>
      </w:r>
      <w:r>
        <w:rPr>
          <w:rFonts w:hint="eastAsia" w:ascii="方正仿宋_GBK" w:eastAsia="方正仿宋_GBK"/>
          <w:b w:val="0"/>
          <w:i w:val="0"/>
          <w:caps w:val="0"/>
          <w:color w:val="auto"/>
          <w:spacing w:val="0"/>
          <w:w w:val="100"/>
          <w:sz w:val="32"/>
          <w:szCs w:val="32"/>
        </w:rPr>
        <w:t>申请人</w:t>
      </w:r>
      <w:r>
        <w:rPr>
          <w:rFonts w:hint="eastAsia" w:ascii="方正仿宋_GBK" w:eastAsia="方正仿宋_GBK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可</w:t>
      </w:r>
      <w:r>
        <w:rPr>
          <w:rFonts w:hint="eastAsia" w:ascii="方正仿宋_GBK" w:eastAsia="方正仿宋_GBK"/>
          <w:b w:val="0"/>
          <w:i w:val="0"/>
          <w:caps w:val="0"/>
          <w:color w:val="auto"/>
          <w:spacing w:val="0"/>
          <w:w w:val="100"/>
          <w:sz w:val="32"/>
          <w:szCs w:val="32"/>
        </w:rPr>
        <w:t>根据自身的研究基础和学术特长，坚持正确政治方向、价值取向、研究导向，认真凝练、自主拟定研究课题</w:t>
      </w:r>
      <w:r>
        <w:rPr>
          <w:rFonts w:hint="eastAsia" w:ascii="方正仿宋_GBK" w:eastAsia="方正仿宋_GBK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  <w:t>名称</w:t>
      </w:r>
      <w:r>
        <w:rPr>
          <w:rFonts w:hint="eastAsia" w:ascii="方正仿宋_GBK" w:eastAsia="方正仿宋_GBK"/>
          <w:b w:val="0"/>
          <w:i w:val="0"/>
          <w:caps w:val="0"/>
          <w:color w:val="auto"/>
          <w:spacing w:val="0"/>
          <w:w w:val="100"/>
          <w:sz w:val="32"/>
          <w:szCs w:val="32"/>
        </w:rPr>
        <w:t>。研究课题名称应表述规范、准确、简洁。</w:t>
      </w:r>
    </w:p>
    <w:p w14:paraId="25A489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0" w:lineRule="exact"/>
        <w:ind w:firstLine="640" w:firstLineChars="200"/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一、重点条目</w:t>
      </w:r>
    </w:p>
    <w:p w14:paraId="76B23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0" w:lineRule="exact"/>
        <w:ind w:firstLine="640" w:firstLineChars="200"/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方正仿宋_GBK" w:cs="Times New Roman"/>
          <w:b w:val="0"/>
          <w:color w:val="auto"/>
          <w:sz w:val="32"/>
          <w:szCs w:val="32"/>
        </w:rPr>
        <w:t>基础教育资源跨学段贯通配置适应</w:t>
      </w:r>
      <w:r>
        <w:rPr>
          <w:rFonts w:hint="eastAsia" w:eastAsia="方正仿宋_GBK" w:cs="Times New Roman"/>
          <w:b w:val="0"/>
          <w:color w:val="auto"/>
          <w:sz w:val="32"/>
          <w:szCs w:val="32"/>
          <w:lang w:val="en-US" w:eastAsia="zh-CN"/>
        </w:rPr>
        <w:t>城乡</w:t>
      </w:r>
      <w:r>
        <w:rPr>
          <w:rFonts w:hint="eastAsia" w:ascii="Times New Roman" w:hAnsi="Times New Roman" w:eastAsia="方正仿宋_GBK" w:cs="Times New Roman"/>
          <w:b w:val="0"/>
          <w:color w:val="auto"/>
          <w:sz w:val="32"/>
          <w:szCs w:val="32"/>
        </w:rPr>
        <w:t>学龄人口变化的机制研究</w:t>
      </w:r>
    </w:p>
    <w:p w14:paraId="111821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0" w:lineRule="exact"/>
        <w:ind w:firstLine="640" w:firstLineChars="200"/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2.人工智能赋能城乡教育共同体深度融合的路径研究</w:t>
      </w:r>
    </w:p>
    <w:p w14:paraId="63BF3D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70" w:lineRule="exact"/>
        <w:ind w:firstLine="640" w:firstLineChars="200"/>
        <w:textAlignment w:val="baseline"/>
        <w:rPr>
          <w:rFonts w:hint="default" w:ascii="黑体" w:hAnsi="黑体" w:eastAsia="黑体" w:cs="黑体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二、重要方向</w:t>
      </w:r>
    </w:p>
    <w:p w14:paraId="2E5CBC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firstLine="640" w:firstLineChars="200"/>
        <w:jc w:val="both"/>
        <w:textAlignment w:val="baseline"/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 xml:space="preserve">1.幼儿园布局调整与普惠托育服务一体化供给的区域实践 </w:t>
      </w:r>
    </w:p>
    <w:p w14:paraId="536FE1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firstLine="640" w:firstLineChars="200"/>
        <w:jc w:val="both"/>
        <w:textAlignment w:val="baseline"/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2.</w:t>
      </w: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面向幼儿的实物编程创新教育课程开发与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实践</w:t>
      </w: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研究</w:t>
      </w:r>
    </w:p>
    <w:p w14:paraId="7B8F72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firstLine="640" w:firstLineChars="200"/>
        <w:jc w:val="both"/>
        <w:textAlignment w:val="baseline"/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 xml:space="preserve">3.适应初中生源高峰的城乡学校存量资源挖潜与赋能机制研究 </w:t>
      </w:r>
    </w:p>
    <w:p w14:paraId="365C1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firstLine="640" w:firstLineChars="200"/>
        <w:jc w:val="both"/>
        <w:textAlignment w:val="baseline"/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 xml:space="preserve">4.乡村小规模学校特色发展案例研究 </w:t>
      </w:r>
    </w:p>
    <w:p w14:paraId="11635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firstLine="640" w:firstLineChars="200"/>
        <w:jc w:val="both"/>
        <w:textAlignment w:val="baseline"/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5.乡镇寄宿制学校活动育人的实践研究</w:t>
      </w:r>
    </w:p>
    <w:p w14:paraId="7B70C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firstLine="640" w:firstLineChars="200"/>
        <w:jc w:val="both"/>
        <w:textAlignment w:val="baseline"/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6.县域高中高质量发展的社会支持系统构建研究</w:t>
      </w:r>
    </w:p>
    <w:p w14:paraId="634265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firstLine="640" w:firstLineChars="200"/>
        <w:jc w:val="both"/>
        <w:textAlignment w:val="baseline"/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 xml:space="preserve">7.人工智能赋能乡村教师数智素养提升的实践研究 </w:t>
      </w:r>
    </w:p>
    <w:p w14:paraId="1A310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firstLine="640" w:firstLineChars="200"/>
        <w:jc w:val="both"/>
        <w:textAlignment w:val="baseline"/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8.</w:t>
      </w: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AIGC</w:t>
      </w: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共生环境下</w:t>
      </w: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城乡学校课堂教学模式研究</w:t>
      </w:r>
    </w:p>
    <w:p w14:paraId="5F6A09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firstLine="640" w:firstLineChars="200"/>
        <w:jc w:val="both"/>
        <w:textAlignment w:val="baseline"/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9.</w:t>
      </w:r>
      <w:r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指向高阶思维的城乡学校课程建设与教学实施研究</w:t>
      </w:r>
    </w:p>
    <w:p w14:paraId="2D7C4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firstLine="640" w:firstLineChars="200"/>
        <w:jc w:val="both"/>
        <w:textAlignment w:val="baseline"/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 xml:space="preserve">10.城乡学校劳动教育实践基地共建共享机制研究 </w:t>
      </w:r>
    </w:p>
    <w:p w14:paraId="422B2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firstLine="640" w:firstLineChars="200"/>
        <w:jc w:val="both"/>
        <w:textAlignment w:val="baseline"/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 xml:space="preserve">11.中小学体育与心理健康教育协同实践研究 </w:t>
      </w:r>
    </w:p>
    <w:p w14:paraId="7E859E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firstLine="640" w:firstLineChars="200"/>
        <w:jc w:val="both"/>
        <w:textAlignment w:val="baseline"/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 xml:space="preserve">12.农村学校课后服务资源引入与质量提升研究 </w:t>
      </w:r>
    </w:p>
    <w:p w14:paraId="221D2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firstLine="640" w:firstLineChars="200"/>
        <w:jc w:val="both"/>
        <w:textAlignment w:val="baseline"/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 xml:space="preserve">13.拔尖创新人才早期培养的效果追踪与评价研究 </w:t>
      </w:r>
    </w:p>
    <w:p w14:paraId="3165E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firstLine="640" w:firstLineChars="200"/>
        <w:jc w:val="both"/>
        <w:textAlignment w:val="baseline"/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 xml:space="preserve">14.综合高中学生发展评价的多元探索 </w:t>
      </w:r>
    </w:p>
    <w:p w14:paraId="5C9DD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firstLine="640" w:firstLineChars="200"/>
        <w:jc w:val="both"/>
        <w:textAlignment w:val="baseline"/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 xml:space="preserve">15.特殊教育资源中心城乡辐射机制研究 </w:t>
      </w:r>
    </w:p>
    <w:p w14:paraId="7ACD8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firstLine="640" w:firstLineChars="200"/>
        <w:jc w:val="both"/>
        <w:textAlignment w:val="baseline"/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16.</w:t>
      </w:r>
      <w:r>
        <w:rPr>
          <w:rFonts w:hint="default" w:eastAsia="方正仿宋_GBK"/>
          <w:color w:val="auto"/>
          <w:sz w:val="32"/>
          <w:szCs w:val="32"/>
        </w:rPr>
        <w:t>基于对口帮扶的民族地区</w:t>
      </w:r>
      <w:r>
        <w:rPr>
          <w:rFonts w:hint="eastAsia" w:eastAsia="方正仿宋_GBK"/>
          <w:color w:val="auto"/>
          <w:sz w:val="32"/>
          <w:szCs w:val="32"/>
          <w:lang w:val="en-US" w:eastAsia="zh-CN"/>
        </w:rPr>
        <w:t>教育</w:t>
      </w:r>
      <w:r>
        <w:rPr>
          <w:rFonts w:hint="default" w:eastAsia="方正仿宋_GBK"/>
          <w:color w:val="auto"/>
          <w:sz w:val="32"/>
          <w:szCs w:val="32"/>
        </w:rPr>
        <w:t>高质量发展典型案例研究</w:t>
      </w:r>
    </w:p>
    <w:p w14:paraId="5ABFB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firstLine="640" w:firstLineChars="200"/>
        <w:jc w:val="both"/>
        <w:textAlignment w:val="baseline"/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17.适应学龄人口变化的师范生培养模式转型研究</w:t>
      </w:r>
    </w:p>
    <w:p w14:paraId="48F9C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firstLine="640" w:firstLineChars="200"/>
        <w:jc w:val="both"/>
        <w:textAlignment w:val="baseline"/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 xml:space="preserve">18.职业教育在地化赋能乡村振兴的实践模式研究 </w:t>
      </w:r>
    </w:p>
    <w:p w14:paraId="325365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firstLine="640" w:firstLineChars="200"/>
        <w:jc w:val="both"/>
        <w:textAlignment w:val="baseline"/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19.地方高校服务城乡教育优质均衡发展的路径研究</w:t>
      </w:r>
    </w:p>
    <w:p w14:paraId="5D0087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firstLine="640" w:firstLineChars="200"/>
        <w:jc w:val="both"/>
        <w:textAlignment w:val="baseline"/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</w:p>
    <w:p w14:paraId="7E8932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firstLine="640" w:firstLineChars="200"/>
        <w:jc w:val="both"/>
        <w:textAlignment w:val="baseline"/>
        <w:rPr>
          <w:rFonts w:hint="default" w:eastAsia="方正仿宋_GBK" w:cs="Times New Roman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</w:pPr>
    </w:p>
    <w:bookmarkEnd w:id="0"/>
    <w:sectPr>
      <w:footerReference r:id="rId3" w:type="default"/>
      <w:footerReference r:id="rId4" w:type="even"/>
      <w:pgSz w:w="11906" w:h="16838"/>
      <w:pgMar w:top="1928" w:right="1135" w:bottom="1701" w:left="1531" w:header="851" w:footer="1418" w:gutter="0"/>
      <w:cols w:space="425" w:num="1"/>
      <w:docGrid w:type="linesAndChars" w:linePitch="29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DEA895">
    <w:pPr>
      <w:pStyle w:val="3"/>
      <w:jc w:val="right"/>
      <w:rPr>
        <w:rFonts w:asciiTheme="minorEastAsia" w:hAnsiTheme="minorEastAsia" w:eastAsiaTheme="minorEastAsia"/>
        <w:sz w:val="28"/>
        <w:szCs w:val="28"/>
      </w:rPr>
    </w:pPr>
    <w:r>
      <w:rPr>
        <w:rFonts w:asciiTheme="minorEastAsia" w:hAnsiTheme="minorEastAsia" w:eastAsiaTheme="minorEastAsia"/>
        <w:sz w:val="28"/>
        <w:szCs w:val="28"/>
      </w:rPr>
      <w:t>—</w:t>
    </w:r>
    <w:sdt>
      <w:sdtPr>
        <w:rPr>
          <w:rFonts w:asciiTheme="minorEastAsia" w:hAnsiTheme="minorEastAsia" w:eastAsiaTheme="minorEastAsia"/>
          <w:sz w:val="28"/>
          <w:szCs w:val="28"/>
        </w:rPr>
        <w:id w:val="147458521"/>
      </w:sdtPr>
      <w:sdtEndPr>
        <w:rPr>
          <w:rFonts w:asciiTheme="minorEastAsia" w:hAnsiTheme="minorEastAsia" w:eastAsiaTheme="minorEastAsia"/>
          <w:sz w:val="28"/>
          <w:szCs w:val="28"/>
        </w:rPr>
      </w:sdtEndPr>
      <w:sdtContent>
        <w:r>
          <w:rPr>
            <w:rFonts w:asciiTheme="minorEastAsia" w:hAnsiTheme="minorEastAsia" w:eastAsiaTheme="minorEastAsia"/>
            <w:sz w:val="28"/>
            <w:szCs w:val="28"/>
          </w:rPr>
          <w:t xml:space="preserve"> 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eastAsiaTheme="minorEastAsia"/>
            <w:sz w:val="28"/>
            <w:szCs w:val="28"/>
            <w:lang w:val="zh-CN"/>
          </w:rPr>
          <w:t>7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  <w:r>
          <w:rPr>
            <w:rFonts w:asciiTheme="minorEastAsia" w:hAnsiTheme="minorEastAsia" w:eastAsiaTheme="minorEastAsia"/>
            <w:sz w:val="28"/>
            <w:szCs w:val="28"/>
          </w:rPr>
          <w:t xml:space="preserve"> </w:t>
        </w:r>
      </w:sdtContent>
    </w:sdt>
    <w:r>
      <w:rPr>
        <w:rFonts w:asciiTheme="minorEastAsia" w:hAnsiTheme="minorEastAsia" w:eastAsiaTheme="minorEastAsia"/>
        <w:sz w:val="28"/>
        <w:szCs w:val="28"/>
      </w:rPr>
      <w:t>—</w:t>
    </w:r>
  </w:p>
  <w:p w14:paraId="7953B4C2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75751"/>
    </w:sdtPr>
    <w:sdtEndPr>
      <w:rPr>
        <w:rFonts w:asciiTheme="minorEastAsia" w:hAnsiTheme="minorEastAsia" w:eastAsiaTheme="minorEastAsia"/>
        <w:sz w:val="28"/>
        <w:szCs w:val="28"/>
      </w:rPr>
    </w:sdtEndPr>
    <w:sdtContent>
      <w:p w14:paraId="4DAAC7A6">
        <w:pPr>
          <w:pStyle w:val="3"/>
          <w:rPr>
            <w:rFonts w:asciiTheme="minorEastAsia" w:hAnsiTheme="minorEastAsia" w:eastAsiaTheme="minorEastAsia"/>
            <w:sz w:val="28"/>
            <w:szCs w:val="28"/>
          </w:rPr>
        </w:pPr>
        <w:r>
          <w:rPr>
            <w:rFonts w:hint="eastAsia" w:asciiTheme="minorEastAsia" w:hAnsiTheme="minorEastAsia" w:eastAsiaTheme="minorEastAsia"/>
            <w:sz w:val="28"/>
            <w:szCs w:val="28"/>
          </w:rPr>
          <w:t xml:space="preserve">— 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eastAsiaTheme="minorEastAsia"/>
            <w:sz w:val="28"/>
            <w:szCs w:val="28"/>
            <w:lang w:val="zh-CN"/>
          </w:rPr>
          <w:t>8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  <w:r>
          <w:rPr>
            <w:rFonts w:asciiTheme="minorEastAsia" w:hAnsiTheme="minorEastAsia" w:eastAsiaTheme="minorEastAsia"/>
            <w:sz w:val="28"/>
            <w:szCs w:val="28"/>
          </w:rPr>
          <w:t xml:space="preserve"> </w:t>
        </w:r>
        <w:r>
          <w:rPr>
            <w:rFonts w:hint="eastAsia" w:asciiTheme="minorEastAsia" w:hAnsiTheme="minorEastAsia" w:eastAsiaTheme="minorEastAsia"/>
            <w:sz w:val="28"/>
            <w:szCs w:val="28"/>
          </w:rPr>
          <w:t>—</w:t>
        </w:r>
      </w:p>
    </w:sdtContent>
  </w:sdt>
  <w:p w14:paraId="3A01744B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zNTQxYmI3NGI3YWZhZGIyZTNmOWI0M2Y2OGU4NjQifQ=="/>
  </w:docVars>
  <w:rsids>
    <w:rsidRoot w:val="235C2836"/>
    <w:rsid w:val="005062F5"/>
    <w:rsid w:val="005E12C3"/>
    <w:rsid w:val="00C8558F"/>
    <w:rsid w:val="00EB0038"/>
    <w:rsid w:val="01260E98"/>
    <w:rsid w:val="03630BA6"/>
    <w:rsid w:val="045126D0"/>
    <w:rsid w:val="04CB2461"/>
    <w:rsid w:val="05053301"/>
    <w:rsid w:val="05145BD8"/>
    <w:rsid w:val="05A625A8"/>
    <w:rsid w:val="05DF4721"/>
    <w:rsid w:val="060043AE"/>
    <w:rsid w:val="065344DE"/>
    <w:rsid w:val="070A2FBC"/>
    <w:rsid w:val="08F94E10"/>
    <w:rsid w:val="08F9CA4F"/>
    <w:rsid w:val="0983157E"/>
    <w:rsid w:val="09B72FD5"/>
    <w:rsid w:val="0B176700"/>
    <w:rsid w:val="0B7D06A8"/>
    <w:rsid w:val="0BFF0A2D"/>
    <w:rsid w:val="0C8F1FE8"/>
    <w:rsid w:val="0CA61B23"/>
    <w:rsid w:val="0CB679B8"/>
    <w:rsid w:val="0DFC171A"/>
    <w:rsid w:val="0EAF6971"/>
    <w:rsid w:val="0FB7467A"/>
    <w:rsid w:val="0FF4755A"/>
    <w:rsid w:val="10141182"/>
    <w:rsid w:val="10164ED0"/>
    <w:rsid w:val="107364B9"/>
    <w:rsid w:val="11963E18"/>
    <w:rsid w:val="12336DC8"/>
    <w:rsid w:val="12CA0645"/>
    <w:rsid w:val="12EC1F42"/>
    <w:rsid w:val="136B60A0"/>
    <w:rsid w:val="13E534A4"/>
    <w:rsid w:val="13FC4E78"/>
    <w:rsid w:val="154047C7"/>
    <w:rsid w:val="158409EF"/>
    <w:rsid w:val="15E92769"/>
    <w:rsid w:val="15FFA737"/>
    <w:rsid w:val="167FC799"/>
    <w:rsid w:val="16DA0303"/>
    <w:rsid w:val="170A3CDB"/>
    <w:rsid w:val="172A7D83"/>
    <w:rsid w:val="17681DB3"/>
    <w:rsid w:val="18E628A8"/>
    <w:rsid w:val="1A350962"/>
    <w:rsid w:val="1A3C7D61"/>
    <w:rsid w:val="1AA117B5"/>
    <w:rsid w:val="1AC506ED"/>
    <w:rsid w:val="1B993E50"/>
    <w:rsid w:val="1BE4736C"/>
    <w:rsid w:val="1D3D2043"/>
    <w:rsid w:val="1D463497"/>
    <w:rsid w:val="1D7D3EDE"/>
    <w:rsid w:val="1DE0117D"/>
    <w:rsid w:val="1DEFDFC9"/>
    <w:rsid w:val="1EFF1A10"/>
    <w:rsid w:val="1FAFC525"/>
    <w:rsid w:val="1FB1A093"/>
    <w:rsid w:val="20481A74"/>
    <w:rsid w:val="21AB2FC8"/>
    <w:rsid w:val="21F73B84"/>
    <w:rsid w:val="22956472"/>
    <w:rsid w:val="22E660CE"/>
    <w:rsid w:val="23231142"/>
    <w:rsid w:val="23344EF2"/>
    <w:rsid w:val="23461CCE"/>
    <w:rsid w:val="235C2836"/>
    <w:rsid w:val="23CE5CAC"/>
    <w:rsid w:val="253D3382"/>
    <w:rsid w:val="25AE3087"/>
    <w:rsid w:val="25B260F9"/>
    <w:rsid w:val="263712CE"/>
    <w:rsid w:val="26490CBA"/>
    <w:rsid w:val="268B3DBD"/>
    <w:rsid w:val="276FED34"/>
    <w:rsid w:val="280E605F"/>
    <w:rsid w:val="289C18BC"/>
    <w:rsid w:val="2AB279D0"/>
    <w:rsid w:val="2AC05D36"/>
    <w:rsid w:val="2B5653CF"/>
    <w:rsid w:val="2D297497"/>
    <w:rsid w:val="2E5F5866"/>
    <w:rsid w:val="2EB85094"/>
    <w:rsid w:val="2EC14592"/>
    <w:rsid w:val="2EE034EA"/>
    <w:rsid w:val="2F3650DA"/>
    <w:rsid w:val="2F6F0BE6"/>
    <w:rsid w:val="302C5C1C"/>
    <w:rsid w:val="30A75156"/>
    <w:rsid w:val="31DF52D1"/>
    <w:rsid w:val="33321433"/>
    <w:rsid w:val="33B05997"/>
    <w:rsid w:val="33D67D01"/>
    <w:rsid w:val="340149AC"/>
    <w:rsid w:val="35CA41A3"/>
    <w:rsid w:val="3710594F"/>
    <w:rsid w:val="375E0EBB"/>
    <w:rsid w:val="37840664"/>
    <w:rsid w:val="37DEBCF3"/>
    <w:rsid w:val="38454AF6"/>
    <w:rsid w:val="387ED640"/>
    <w:rsid w:val="38FB618B"/>
    <w:rsid w:val="391A266D"/>
    <w:rsid w:val="3A672524"/>
    <w:rsid w:val="3AF060A0"/>
    <w:rsid w:val="3B8F34C7"/>
    <w:rsid w:val="3BEEEEED"/>
    <w:rsid w:val="3C2105FF"/>
    <w:rsid w:val="3CA43046"/>
    <w:rsid w:val="3D430584"/>
    <w:rsid w:val="3D663EBA"/>
    <w:rsid w:val="3DCCC296"/>
    <w:rsid w:val="3DFB4BE7"/>
    <w:rsid w:val="3DFC1136"/>
    <w:rsid w:val="3EDFBC7B"/>
    <w:rsid w:val="3F5DA45E"/>
    <w:rsid w:val="3F6902F3"/>
    <w:rsid w:val="3FB11C9A"/>
    <w:rsid w:val="3FC8488E"/>
    <w:rsid w:val="3FDF1988"/>
    <w:rsid w:val="402E5098"/>
    <w:rsid w:val="416A2994"/>
    <w:rsid w:val="41AD1B5C"/>
    <w:rsid w:val="41EA3241"/>
    <w:rsid w:val="42C817D4"/>
    <w:rsid w:val="43186766"/>
    <w:rsid w:val="44507CD3"/>
    <w:rsid w:val="44F56185"/>
    <w:rsid w:val="460978F9"/>
    <w:rsid w:val="464F65DC"/>
    <w:rsid w:val="471D0937"/>
    <w:rsid w:val="491868E5"/>
    <w:rsid w:val="499070F8"/>
    <w:rsid w:val="4A7F539C"/>
    <w:rsid w:val="4B457FAC"/>
    <w:rsid w:val="4DB25385"/>
    <w:rsid w:val="4DFAEC46"/>
    <w:rsid w:val="4E5F7090"/>
    <w:rsid w:val="4E6F1BA8"/>
    <w:rsid w:val="4EFD06C0"/>
    <w:rsid w:val="4FDF2E8D"/>
    <w:rsid w:val="4FEE3115"/>
    <w:rsid w:val="50852AB2"/>
    <w:rsid w:val="513C18E5"/>
    <w:rsid w:val="51556929"/>
    <w:rsid w:val="52880638"/>
    <w:rsid w:val="52E668BC"/>
    <w:rsid w:val="530D4FE1"/>
    <w:rsid w:val="537D087D"/>
    <w:rsid w:val="53EB3D2F"/>
    <w:rsid w:val="54420CBA"/>
    <w:rsid w:val="555B072D"/>
    <w:rsid w:val="55FFE313"/>
    <w:rsid w:val="577A1D40"/>
    <w:rsid w:val="57D7E9F9"/>
    <w:rsid w:val="599D5C82"/>
    <w:rsid w:val="5A36439B"/>
    <w:rsid w:val="5B684E2E"/>
    <w:rsid w:val="5B844ADB"/>
    <w:rsid w:val="5BCFDC31"/>
    <w:rsid w:val="5BFF8F69"/>
    <w:rsid w:val="5D7A358E"/>
    <w:rsid w:val="5DB7C564"/>
    <w:rsid w:val="5DEF01EF"/>
    <w:rsid w:val="5DF5FF50"/>
    <w:rsid w:val="5E7128C8"/>
    <w:rsid w:val="5E836DC1"/>
    <w:rsid w:val="5F856825"/>
    <w:rsid w:val="5FBBC440"/>
    <w:rsid w:val="5FBC1E12"/>
    <w:rsid w:val="5FF918E3"/>
    <w:rsid w:val="5FFF610F"/>
    <w:rsid w:val="5FFF876A"/>
    <w:rsid w:val="61371BA7"/>
    <w:rsid w:val="62265BF1"/>
    <w:rsid w:val="63476F34"/>
    <w:rsid w:val="634D0470"/>
    <w:rsid w:val="63D556A7"/>
    <w:rsid w:val="63FFA8E5"/>
    <w:rsid w:val="661C136B"/>
    <w:rsid w:val="673F17B5"/>
    <w:rsid w:val="677F1A47"/>
    <w:rsid w:val="68196D67"/>
    <w:rsid w:val="68626F55"/>
    <w:rsid w:val="68AE0885"/>
    <w:rsid w:val="69352ECC"/>
    <w:rsid w:val="69DF662C"/>
    <w:rsid w:val="6AC5495F"/>
    <w:rsid w:val="6B824366"/>
    <w:rsid w:val="6B9A885F"/>
    <w:rsid w:val="6BD050D2"/>
    <w:rsid w:val="6C61423B"/>
    <w:rsid w:val="6D371812"/>
    <w:rsid w:val="6E0F7A08"/>
    <w:rsid w:val="6E251CF8"/>
    <w:rsid w:val="6EDF23C1"/>
    <w:rsid w:val="6EEAF1C2"/>
    <w:rsid w:val="6F550B96"/>
    <w:rsid w:val="6F6B11A7"/>
    <w:rsid w:val="6F7F302D"/>
    <w:rsid w:val="6FBEA2C5"/>
    <w:rsid w:val="6FBF334A"/>
    <w:rsid w:val="6FBF5150"/>
    <w:rsid w:val="6FBF5245"/>
    <w:rsid w:val="6FFD71A6"/>
    <w:rsid w:val="6FFF336C"/>
    <w:rsid w:val="70A96A0D"/>
    <w:rsid w:val="70B5691E"/>
    <w:rsid w:val="70D64ACC"/>
    <w:rsid w:val="70FB1711"/>
    <w:rsid w:val="7100515F"/>
    <w:rsid w:val="73A1041B"/>
    <w:rsid w:val="73EDB6D4"/>
    <w:rsid w:val="73FC2F7E"/>
    <w:rsid w:val="75575F1C"/>
    <w:rsid w:val="75F96108"/>
    <w:rsid w:val="76AE4262"/>
    <w:rsid w:val="771670BC"/>
    <w:rsid w:val="77974CF6"/>
    <w:rsid w:val="779FAC14"/>
    <w:rsid w:val="779FEE1F"/>
    <w:rsid w:val="77B52968"/>
    <w:rsid w:val="77D23F80"/>
    <w:rsid w:val="77F4B983"/>
    <w:rsid w:val="77F861A5"/>
    <w:rsid w:val="77FF4A1F"/>
    <w:rsid w:val="784D6298"/>
    <w:rsid w:val="78AF8F51"/>
    <w:rsid w:val="79AAD557"/>
    <w:rsid w:val="7AE7C68D"/>
    <w:rsid w:val="7B046BAE"/>
    <w:rsid w:val="7B4E6BCF"/>
    <w:rsid w:val="7B57E1C1"/>
    <w:rsid w:val="7BDD6E1D"/>
    <w:rsid w:val="7BFF0C19"/>
    <w:rsid w:val="7D7640ED"/>
    <w:rsid w:val="7DBF1388"/>
    <w:rsid w:val="7DD494AA"/>
    <w:rsid w:val="7DDDCCC8"/>
    <w:rsid w:val="7EBC1206"/>
    <w:rsid w:val="7EDFFDF7"/>
    <w:rsid w:val="7F1F06C4"/>
    <w:rsid w:val="7F3F1F9D"/>
    <w:rsid w:val="7F5FC251"/>
    <w:rsid w:val="7F758273"/>
    <w:rsid w:val="7F7B2D8C"/>
    <w:rsid w:val="7F7F9AD2"/>
    <w:rsid w:val="7FB9CF7D"/>
    <w:rsid w:val="7FC7C961"/>
    <w:rsid w:val="7FDB2B82"/>
    <w:rsid w:val="7FDF37FF"/>
    <w:rsid w:val="7FE9AE97"/>
    <w:rsid w:val="7FEAC323"/>
    <w:rsid w:val="7FEDD40A"/>
    <w:rsid w:val="7FEE4073"/>
    <w:rsid w:val="7FFA6D2F"/>
    <w:rsid w:val="7FFF6756"/>
    <w:rsid w:val="8BFB3657"/>
    <w:rsid w:val="8FDE5707"/>
    <w:rsid w:val="8FED7AE2"/>
    <w:rsid w:val="8FFFA454"/>
    <w:rsid w:val="996DAC11"/>
    <w:rsid w:val="9B4F9A14"/>
    <w:rsid w:val="9EB80E5F"/>
    <w:rsid w:val="A5FF3865"/>
    <w:rsid w:val="A7DF5484"/>
    <w:rsid w:val="A7FF8CEF"/>
    <w:rsid w:val="AD12682A"/>
    <w:rsid w:val="AF6F0373"/>
    <w:rsid w:val="AFA707A4"/>
    <w:rsid w:val="AFEE1569"/>
    <w:rsid w:val="AFFF5BE7"/>
    <w:rsid w:val="B30DEF58"/>
    <w:rsid w:val="B75DEDA0"/>
    <w:rsid w:val="B7677742"/>
    <w:rsid w:val="BB7F109B"/>
    <w:rsid w:val="BBB7DDE4"/>
    <w:rsid w:val="BBF68A35"/>
    <w:rsid w:val="BCBF07F6"/>
    <w:rsid w:val="BDFF3033"/>
    <w:rsid w:val="BEEED5DD"/>
    <w:rsid w:val="BF3FC183"/>
    <w:rsid w:val="BF733C2C"/>
    <w:rsid w:val="BFEF6D6F"/>
    <w:rsid w:val="C5F7882B"/>
    <w:rsid w:val="C67D5CFC"/>
    <w:rsid w:val="C77FE697"/>
    <w:rsid w:val="D77E0AF6"/>
    <w:rsid w:val="D9DA57A6"/>
    <w:rsid w:val="D9F5E6DD"/>
    <w:rsid w:val="DAFECBE3"/>
    <w:rsid w:val="DDAF9C94"/>
    <w:rsid w:val="DEDF0B9D"/>
    <w:rsid w:val="DF5EE204"/>
    <w:rsid w:val="DF6B1352"/>
    <w:rsid w:val="DFAEE422"/>
    <w:rsid w:val="DFD1664F"/>
    <w:rsid w:val="DFDF045A"/>
    <w:rsid w:val="DFEFF043"/>
    <w:rsid w:val="DFFD5886"/>
    <w:rsid w:val="E32F40A3"/>
    <w:rsid w:val="E3DF3AD1"/>
    <w:rsid w:val="E3FE2975"/>
    <w:rsid w:val="E5F9ED6E"/>
    <w:rsid w:val="E7DE2811"/>
    <w:rsid w:val="EB8E3BBC"/>
    <w:rsid w:val="EB9D2004"/>
    <w:rsid w:val="EBEF4BC2"/>
    <w:rsid w:val="EBF8F854"/>
    <w:rsid w:val="ED6D5722"/>
    <w:rsid w:val="EDD5F91D"/>
    <w:rsid w:val="EDF86C10"/>
    <w:rsid w:val="EE3F0DF3"/>
    <w:rsid w:val="EEBF3BF6"/>
    <w:rsid w:val="EF132CFD"/>
    <w:rsid w:val="EF395AC3"/>
    <w:rsid w:val="EFDF24EF"/>
    <w:rsid w:val="F3FEE301"/>
    <w:rsid w:val="F45D3985"/>
    <w:rsid w:val="F67BD20B"/>
    <w:rsid w:val="F6B79045"/>
    <w:rsid w:val="F6D48A50"/>
    <w:rsid w:val="F6FAE299"/>
    <w:rsid w:val="F6FD3087"/>
    <w:rsid w:val="F75F086C"/>
    <w:rsid w:val="F77FC769"/>
    <w:rsid w:val="F7DFF75F"/>
    <w:rsid w:val="F7EEA0B4"/>
    <w:rsid w:val="F89BE273"/>
    <w:rsid w:val="F9715566"/>
    <w:rsid w:val="F97500E5"/>
    <w:rsid w:val="FB66E3F7"/>
    <w:rsid w:val="FBDAC386"/>
    <w:rsid w:val="FBF68D0B"/>
    <w:rsid w:val="FCB7FE13"/>
    <w:rsid w:val="FCBF34F0"/>
    <w:rsid w:val="FD2D0E20"/>
    <w:rsid w:val="FDFF333C"/>
    <w:rsid w:val="FDFFC5CB"/>
    <w:rsid w:val="FE5EA713"/>
    <w:rsid w:val="FE7F3C21"/>
    <w:rsid w:val="FEDFC6C4"/>
    <w:rsid w:val="FEE0018D"/>
    <w:rsid w:val="FEE3449D"/>
    <w:rsid w:val="FEFE0DFF"/>
    <w:rsid w:val="FF1F3F8F"/>
    <w:rsid w:val="FF2F0896"/>
    <w:rsid w:val="FF5F8329"/>
    <w:rsid w:val="FF622C41"/>
    <w:rsid w:val="FF6DAB9C"/>
    <w:rsid w:val="FF753852"/>
    <w:rsid w:val="FFDD7E47"/>
    <w:rsid w:val="FFF53513"/>
    <w:rsid w:val="FFF735A5"/>
    <w:rsid w:val="FFFFD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695</Words>
  <Characters>733</Characters>
  <Lines>4</Lines>
  <Paragraphs>1</Paragraphs>
  <TotalTime>2</TotalTime>
  <ScaleCrop>false</ScaleCrop>
  <LinksUpToDate>false</LinksUpToDate>
  <CharactersWithSpaces>744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2020-03-17T09:05:00Z</dcterms:created>
  <dc:creator>yy</dc:creator>
  <cp:lastModifiedBy>L-xiao</cp:lastModifiedBy>
  <dcterms:modified xsi:type="dcterms:W3CDTF">2026-03-23T07:57:41Z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RubyTemplateID" linkTarget="0">
    <vt:lpwstr>6</vt:lpwstr>
  </property>
  <property fmtid="{D5CDD505-2E9C-101B-9397-08002B2CF9AE}" pid="4" name="KSOSaveFontToCloudKey">
    <vt:lpwstr>454198516_btnclosed</vt:lpwstr>
  </property>
  <property fmtid="{D5CDD505-2E9C-101B-9397-08002B2CF9AE}" pid="5" name="ICV">
    <vt:lpwstr>F28ABE84F17C9E7DF769AE69B84BC6BA_43</vt:lpwstr>
  </property>
  <property fmtid="{D5CDD505-2E9C-101B-9397-08002B2CF9AE}" pid="6" name="KSOTemplateDocerSaveRecord">
    <vt:lpwstr>eyJoZGlkIjoiZjAzNTQxYmI3NGI3YWZhZGIyZTNmOWI0M2Y2OGU4NjQiLCJ1c2VySWQiOiI0NTQxOTg1MTYifQ==</vt:lpwstr>
  </property>
</Properties>
</file>