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CF3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690" w:right="690"/>
        <w:jc w:val="center"/>
        <w:rPr>
          <w:b w:val="0"/>
          <w:bCs w:val="0"/>
          <w:color w:val="135194"/>
          <w:sz w:val="45"/>
          <w:szCs w:val="45"/>
        </w:rPr>
      </w:pPr>
      <w:bookmarkStart w:id="0" w:name="_GoBack"/>
      <w:r>
        <w:rPr>
          <w:b w:val="0"/>
          <w:bCs w:val="0"/>
          <w:i w:val="0"/>
          <w:iCs w:val="0"/>
          <w:caps w:val="0"/>
          <w:color w:val="135194"/>
          <w:spacing w:val="0"/>
          <w:sz w:val="45"/>
          <w:szCs w:val="45"/>
          <w:bdr w:val="none" w:color="auto" w:sz="0" w:space="0"/>
        </w:rPr>
        <w:t>2025年国家社科基金艺术学重大项目招标公告</w:t>
      </w:r>
      <w:bookmarkEnd w:id="0"/>
    </w:p>
    <w:p w14:paraId="51A218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690" w:right="690"/>
      </w:pPr>
      <w:r>
        <w:rPr>
          <w:rFonts w:hint="eastAsia" w:ascii="宋体" w:hAnsi="宋体" w:eastAsia="宋体" w:cs="宋体"/>
          <w:i w:val="0"/>
          <w:iCs w:val="0"/>
          <w:caps w:val="0"/>
          <w:color w:val="333333"/>
          <w:spacing w:val="0"/>
          <w:sz w:val="24"/>
          <w:szCs w:val="24"/>
          <w:bdr w:val="none" w:color="auto" w:sz="0" w:space="0"/>
        </w:rPr>
        <w:t>发布时间：2025年02月21日</w:t>
      </w:r>
    </w:p>
    <w:p w14:paraId="0CBECF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690" w:right="2942"/>
      </w:pPr>
      <w:r>
        <w:rPr>
          <w:rFonts w:hint="eastAsia" w:ascii="宋体" w:hAnsi="宋体" w:eastAsia="宋体" w:cs="宋体"/>
          <w:i w:val="0"/>
          <w:iCs w:val="0"/>
          <w:caps w:val="0"/>
          <w:color w:val="333333"/>
          <w:spacing w:val="0"/>
          <w:sz w:val="24"/>
          <w:szCs w:val="24"/>
          <w:bdr w:val="none" w:color="auto" w:sz="0" w:space="0"/>
        </w:rPr>
        <w:t>字体：[</w:t>
      </w:r>
      <w:r>
        <w:rPr>
          <w:rFonts w:hint="eastAsia" w:ascii="宋体" w:hAnsi="宋体" w:eastAsia="宋体" w:cs="宋体"/>
          <w:i w:val="0"/>
          <w:iCs w:val="0"/>
          <w:caps w:val="0"/>
          <w:color w:val="333333"/>
          <w:spacing w:val="0"/>
          <w:sz w:val="24"/>
          <w:szCs w:val="24"/>
          <w:u w:val="none"/>
          <w:bdr w:val="none" w:color="auto" w:sz="0" w:space="0"/>
        </w:rPr>
        <w:fldChar w:fldCharType="begin"/>
      </w:r>
      <w:r>
        <w:rPr>
          <w:rFonts w:hint="eastAsia" w:ascii="宋体" w:hAnsi="宋体" w:eastAsia="宋体" w:cs="宋体"/>
          <w:i w:val="0"/>
          <w:iCs w:val="0"/>
          <w:caps w:val="0"/>
          <w:color w:val="333333"/>
          <w:spacing w:val="0"/>
          <w:sz w:val="24"/>
          <w:szCs w:val="24"/>
          <w:u w:val="none"/>
          <w:bdr w:val="none" w:color="auto" w:sz="0" w:space="0"/>
        </w:rPr>
        <w:instrText xml:space="preserve"> HYPERLINK "javascript:;" </w:instrText>
      </w:r>
      <w:r>
        <w:rPr>
          <w:rFonts w:hint="eastAsia" w:ascii="宋体" w:hAnsi="宋体" w:eastAsia="宋体" w:cs="宋体"/>
          <w:i w:val="0"/>
          <w:iCs w:val="0"/>
          <w:caps w:val="0"/>
          <w:color w:val="333333"/>
          <w:spacing w:val="0"/>
          <w:sz w:val="24"/>
          <w:szCs w:val="24"/>
          <w:u w:val="none"/>
          <w:bdr w:val="none" w:color="auto" w:sz="0" w:space="0"/>
        </w:rPr>
        <w:fldChar w:fldCharType="separate"/>
      </w:r>
      <w:r>
        <w:rPr>
          <w:rStyle w:val="6"/>
          <w:rFonts w:hint="eastAsia" w:ascii="宋体" w:hAnsi="宋体" w:eastAsia="宋体" w:cs="宋体"/>
          <w:i w:val="0"/>
          <w:iCs w:val="0"/>
          <w:caps w:val="0"/>
          <w:color w:val="333333"/>
          <w:spacing w:val="0"/>
          <w:sz w:val="24"/>
          <w:szCs w:val="24"/>
          <w:u w:val="none"/>
          <w:bdr w:val="none" w:color="auto" w:sz="0" w:space="0"/>
        </w:rPr>
        <w:t>大</w:t>
      </w:r>
      <w:r>
        <w:rPr>
          <w:rFonts w:hint="eastAsia" w:ascii="宋体" w:hAnsi="宋体" w:eastAsia="宋体" w:cs="宋体"/>
          <w:i w:val="0"/>
          <w:iCs w:val="0"/>
          <w:caps w:val="0"/>
          <w:color w:val="333333"/>
          <w:spacing w:val="0"/>
          <w:sz w:val="24"/>
          <w:szCs w:val="24"/>
          <w:u w:val="none"/>
          <w:bdr w:val="none" w:color="auto" w:sz="0" w:space="0"/>
        </w:rPr>
        <w:fldChar w:fldCharType="end"/>
      </w:r>
      <w:r>
        <w:rPr>
          <w:rFonts w:hint="eastAsia" w:ascii="宋体" w:hAnsi="宋体" w:eastAsia="宋体" w:cs="宋体"/>
          <w:i w:val="0"/>
          <w:iCs w:val="0"/>
          <w:caps w:val="0"/>
          <w:color w:val="333333"/>
          <w:spacing w:val="0"/>
          <w:sz w:val="24"/>
          <w:szCs w:val="24"/>
          <w:u w:val="none"/>
          <w:bdr w:val="none" w:color="auto" w:sz="0" w:space="0"/>
        </w:rPr>
        <w:fldChar w:fldCharType="begin"/>
      </w:r>
      <w:r>
        <w:rPr>
          <w:rFonts w:hint="eastAsia" w:ascii="宋体" w:hAnsi="宋体" w:eastAsia="宋体" w:cs="宋体"/>
          <w:i w:val="0"/>
          <w:iCs w:val="0"/>
          <w:caps w:val="0"/>
          <w:color w:val="333333"/>
          <w:spacing w:val="0"/>
          <w:sz w:val="24"/>
          <w:szCs w:val="24"/>
          <w:u w:val="none"/>
          <w:bdr w:val="none" w:color="auto" w:sz="0" w:space="0"/>
        </w:rPr>
        <w:instrText xml:space="preserve"> HYPERLINK "javascript:;" </w:instrText>
      </w:r>
      <w:r>
        <w:rPr>
          <w:rFonts w:hint="eastAsia" w:ascii="宋体" w:hAnsi="宋体" w:eastAsia="宋体" w:cs="宋体"/>
          <w:i w:val="0"/>
          <w:iCs w:val="0"/>
          <w:caps w:val="0"/>
          <w:color w:val="333333"/>
          <w:spacing w:val="0"/>
          <w:sz w:val="24"/>
          <w:szCs w:val="24"/>
          <w:u w:val="none"/>
          <w:bdr w:val="none" w:color="auto" w:sz="0" w:space="0"/>
        </w:rPr>
        <w:fldChar w:fldCharType="separate"/>
      </w:r>
      <w:r>
        <w:rPr>
          <w:rStyle w:val="6"/>
          <w:rFonts w:hint="eastAsia" w:ascii="宋体" w:hAnsi="宋体" w:eastAsia="宋体" w:cs="宋体"/>
          <w:i w:val="0"/>
          <w:iCs w:val="0"/>
          <w:caps w:val="0"/>
          <w:color w:val="333333"/>
          <w:spacing w:val="0"/>
          <w:sz w:val="24"/>
          <w:szCs w:val="24"/>
          <w:u w:val="none"/>
          <w:bdr w:val="none" w:color="auto" w:sz="0" w:space="0"/>
        </w:rPr>
        <w:t>中</w:t>
      </w:r>
      <w:r>
        <w:rPr>
          <w:rFonts w:hint="eastAsia" w:ascii="宋体" w:hAnsi="宋体" w:eastAsia="宋体" w:cs="宋体"/>
          <w:i w:val="0"/>
          <w:iCs w:val="0"/>
          <w:caps w:val="0"/>
          <w:color w:val="333333"/>
          <w:spacing w:val="0"/>
          <w:sz w:val="24"/>
          <w:szCs w:val="24"/>
          <w:u w:val="none"/>
          <w:bdr w:val="none" w:color="auto" w:sz="0" w:space="0"/>
        </w:rPr>
        <w:fldChar w:fldCharType="end"/>
      </w:r>
      <w:r>
        <w:rPr>
          <w:rFonts w:hint="eastAsia" w:ascii="宋体" w:hAnsi="宋体" w:eastAsia="宋体" w:cs="宋体"/>
          <w:i w:val="0"/>
          <w:iCs w:val="0"/>
          <w:caps w:val="0"/>
          <w:color w:val="333333"/>
          <w:spacing w:val="0"/>
          <w:sz w:val="24"/>
          <w:szCs w:val="24"/>
          <w:u w:val="none"/>
          <w:bdr w:val="none" w:color="auto" w:sz="0" w:space="0"/>
        </w:rPr>
        <w:fldChar w:fldCharType="begin"/>
      </w:r>
      <w:r>
        <w:rPr>
          <w:rFonts w:hint="eastAsia" w:ascii="宋体" w:hAnsi="宋体" w:eastAsia="宋体" w:cs="宋体"/>
          <w:i w:val="0"/>
          <w:iCs w:val="0"/>
          <w:caps w:val="0"/>
          <w:color w:val="333333"/>
          <w:spacing w:val="0"/>
          <w:sz w:val="24"/>
          <w:szCs w:val="24"/>
          <w:u w:val="none"/>
          <w:bdr w:val="none" w:color="auto" w:sz="0" w:space="0"/>
        </w:rPr>
        <w:instrText xml:space="preserve"> HYPERLINK "javascript:;" </w:instrText>
      </w:r>
      <w:r>
        <w:rPr>
          <w:rFonts w:hint="eastAsia" w:ascii="宋体" w:hAnsi="宋体" w:eastAsia="宋体" w:cs="宋体"/>
          <w:i w:val="0"/>
          <w:iCs w:val="0"/>
          <w:caps w:val="0"/>
          <w:color w:val="333333"/>
          <w:spacing w:val="0"/>
          <w:sz w:val="24"/>
          <w:szCs w:val="24"/>
          <w:u w:val="none"/>
          <w:bdr w:val="none" w:color="auto" w:sz="0" w:space="0"/>
        </w:rPr>
        <w:fldChar w:fldCharType="separate"/>
      </w:r>
      <w:r>
        <w:rPr>
          <w:rStyle w:val="6"/>
          <w:rFonts w:hint="eastAsia" w:ascii="宋体" w:hAnsi="宋体" w:eastAsia="宋体" w:cs="宋体"/>
          <w:i w:val="0"/>
          <w:iCs w:val="0"/>
          <w:caps w:val="0"/>
          <w:color w:val="333333"/>
          <w:spacing w:val="0"/>
          <w:sz w:val="24"/>
          <w:szCs w:val="24"/>
          <w:u w:val="none"/>
          <w:bdr w:val="none" w:color="auto" w:sz="0" w:space="0"/>
        </w:rPr>
        <w:t>小</w:t>
      </w:r>
      <w:r>
        <w:rPr>
          <w:rFonts w:hint="eastAsia" w:ascii="宋体" w:hAnsi="宋体" w:eastAsia="宋体" w:cs="宋体"/>
          <w:i w:val="0"/>
          <w:iCs w:val="0"/>
          <w:caps w:val="0"/>
          <w:color w:val="333333"/>
          <w:spacing w:val="0"/>
          <w:sz w:val="24"/>
          <w:szCs w:val="24"/>
          <w:u w:val="none"/>
          <w:bdr w:val="none" w:color="auto" w:sz="0" w:space="0"/>
        </w:rPr>
        <w:fldChar w:fldCharType="end"/>
      </w:r>
      <w:r>
        <w:rPr>
          <w:rFonts w:hint="eastAsia" w:ascii="宋体" w:hAnsi="宋体" w:eastAsia="宋体" w:cs="宋体"/>
          <w:i w:val="0"/>
          <w:iCs w:val="0"/>
          <w:caps w:val="0"/>
          <w:color w:val="333333"/>
          <w:spacing w:val="0"/>
          <w:sz w:val="24"/>
          <w:szCs w:val="24"/>
          <w:bdr w:val="none" w:color="auto" w:sz="0" w:space="0"/>
        </w:rPr>
        <w:t>]</w:t>
      </w:r>
    </w:p>
    <w:p w14:paraId="3FE32C97">
      <w:pPr>
        <w:keepNext w:val="0"/>
        <w:keepLines w:val="0"/>
        <w:widowControl/>
        <w:suppressLineNumbers w:val="0"/>
        <w:pBdr>
          <w:top w:val="none" w:color="auto" w:sz="0" w:space="0"/>
          <w:left w:val="none" w:color="auto" w:sz="0" w:space="0"/>
          <w:bottom w:val="none" w:color="auto" w:sz="0" w:space="0"/>
          <w:right w:val="none" w:color="auto" w:sz="0" w:space="0"/>
        </w:pBdr>
        <w:spacing w:after="0" w:afterAutospacing="0" w:line="450" w:lineRule="atLeast"/>
        <w:ind w:left="2942" w:right="69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999999"/>
          <w:spacing w:val="0"/>
          <w:kern w:val="0"/>
          <w:sz w:val="24"/>
          <w:szCs w:val="24"/>
          <w:u w:val="none"/>
          <w:bdr w:val="none" w:color="auto" w:sz="0" w:space="0"/>
          <w:lang w:val="en-US" w:eastAsia="zh-CN" w:bidi="ar"/>
        </w:rPr>
        <w:fldChar w:fldCharType="begin"/>
      </w:r>
      <w:r>
        <w:rPr>
          <w:rFonts w:hint="eastAsia" w:ascii="宋体" w:hAnsi="宋体" w:eastAsia="宋体" w:cs="宋体"/>
          <w:i w:val="0"/>
          <w:iCs w:val="0"/>
          <w:caps w:val="0"/>
          <w:color w:val="999999"/>
          <w:spacing w:val="0"/>
          <w:kern w:val="0"/>
          <w:sz w:val="24"/>
          <w:szCs w:val="24"/>
          <w:u w:val="none"/>
          <w:bdr w:val="none" w:color="auto" w:sz="0" w:space="0"/>
          <w:lang w:val="en-US" w:eastAsia="zh-CN" w:bidi="ar"/>
        </w:rPr>
        <w:instrText xml:space="preserve"> HYPERLINK "javascript:window.print()" \o "打印" </w:instrText>
      </w:r>
      <w:r>
        <w:rPr>
          <w:rFonts w:hint="eastAsia" w:ascii="宋体" w:hAnsi="宋体" w:eastAsia="宋体" w:cs="宋体"/>
          <w:i w:val="0"/>
          <w:iCs w:val="0"/>
          <w:caps w:val="0"/>
          <w:color w:val="999999"/>
          <w:spacing w:val="0"/>
          <w:kern w:val="0"/>
          <w:sz w:val="24"/>
          <w:szCs w:val="24"/>
          <w:u w:val="none"/>
          <w:bdr w:val="none" w:color="auto" w:sz="0" w:space="0"/>
          <w:lang w:val="en-US" w:eastAsia="zh-CN" w:bidi="ar"/>
        </w:rPr>
        <w:fldChar w:fldCharType="separate"/>
      </w:r>
      <w:r>
        <w:rPr>
          <w:rStyle w:val="6"/>
          <w:rFonts w:hint="eastAsia" w:ascii="宋体" w:hAnsi="宋体" w:eastAsia="宋体" w:cs="宋体"/>
          <w:i w:val="0"/>
          <w:iCs w:val="0"/>
          <w:caps w:val="0"/>
          <w:color w:val="999999"/>
          <w:spacing w:val="0"/>
          <w:sz w:val="24"/>
          <w:szCs w:val="24"/>
          <w:u w:val="none"/>
          <w:bdr w:val="none" w:color="auto" w:sz="0" w:space="0"/>
        </w:rPr>
        <w:t>打印</w:t>
      </w:r>
      <w:r>
        <w:rPr>
          <w:rFonts w:hint="eastAsia" w:ascii="宋体" w:hAnsi="宋体" w:eastAsia="宋体" w:cs="宋体"/>
          <w:i w:val="0"/>
          <w:iCs w:val="0"/>
          <w:caps w:val="0"/>
          <w:color w:val="999999"/>
          <w:spacing w:val="0"/>
          <w:kern w:val="0"/>
          <w:sz w:val="24"/>
          <w:szCs w:val="24"/>
          <w:u w:val="none"/>
          <w:bdr w:val="none" w:color="auto" w:sz="0" w:space="0"/>
          <w:lang w:val="en-US" w:eastAsia="zh-CN" w:bidi="ar"/>
        </w:rPr>
        <w:fldChar w:fldCharType="end"/>
      </w:r>
    </w:p>
    <w:p w14:paraId="5CDF01E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2025年国家社科基金艺术学重大项目面向全国公开招标，现将有关事项公告如下。</w:t>
      </w:r>
    </w:p>
    <w:p w14:paraId="60CB15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一、招标单位</w:t>
      </w:r>
    </w:p>
    <w:p w14:paraId="74B00A3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全国艺术科学规划领导小组办公室（以下简称全国艺术科学规划办）</w:t>
      </w:r>
    </w:p>
    <w:p w14:paraId="5BAF511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二、招标对象</w:t>
      </w:r>
    </w:p>
    <w:p w14:paraId="2393E9D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主要包括文化艺术领域重点研究机构、高等院校及社科研究机构等的研究人员。投标以责任单位名义组织，多单位联合投标须确定一个责任单位。鼓励跨学科、跨地区、跨单位联合投标，鼓励理论工作部门与实际工作部门合作开展研究。</w:t>
      </w:r>
    </w:p>
    <w:p w14:paraId="332B882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三、招标工作总体要求</w:t>
      </w:r>
    </w:p>
    <w:p w14:paraId="2936773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坚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以对推进党的理论创新和中国式现代化具有学术支撑作用的重大理论和现实问题、对中国特色艺术科学发展和构建中国自主知识体系有关键性作用的重大基础理论问题为主攻方向，推出具有重大学术创新价值和文化传承意义的标志性研究成果，着力服务党和国家战略需求，着力推进知识创新、理论创新、方法创新和应用创新，推动文化艺术研究为党和国家工作大局服务、为繁荣发展哲学社会科学服务、为文化艺术事业提供智力支持和理论支撑。</w:t>
      </w:r>
    </w:p>
    <w:p w14:paraId="0DF620A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四、招标数量和资助额度</w:t>
      </w:r>
    </w:p>
    <w:p w14:paraId="51B16FD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本批次重大项目共发布20个招标选题，每个招标选题原则上只确立1项中标课题，资助额度为每项60—80万元。如获中标，将在立项两年后进行中期检查评估。</w:t>
      </w:r>
    </w:p>
    <w:p w14:paraId="44139B1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五、投标资格要求</w:t>
      </w:r>
    </w:p>
    <w:p w14:paraId="1E8CD0B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（一）责任单位须具备下列条件：</w:t>
      </w:r>
    </w:p>
    <w:p w14:paraId="5B09426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1.在文化艺术研究领域具有较强的科研力量和深厚的学术积累；</w:t>
      </w:r>
    </w:p>
    <w:p w14:paraId="1C01CFF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2.设有专门负责科研管理工作的职能部门；</w:t>
      </w:r>
    </w:p>
    <w:p w14:paraId="36CFF7F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3.能够为开展重大项目研究工作提供良好条件。</w:t>
      </w:r>
    </w:p>
    <w:p w14:paraId="2B64E02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（二）投标人须具备下列条件：</w:t>
      </w:r>
    </w:p>
    <w:p w14:paraId="411ABA0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1.遵守中华人民共和国宪法和法律，遵守国家社科基金各项管理规定；在相关研究领域具有深厚的学术造诣和丰富的科研经验，社会责任感强，品行端正，学风优良；具有正高级专业技术职称或厅局级（含）以上领导职务，每个投标团队首席专家只能为一人。</w:t>
      </w:r>
    </w:p>
    <w:p w14:paraId="24DB55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2.在研的国家社科基金各类项目，马克思主义理论研究和建设工程重大项目及其他国家级重大科研项目，教育部哲学社会科学研究重大课题攻关项目的负责人，不能作为首席专家参加本次投标。申报2025年国家社科基金艺术学年度项目的申请人，不能投标本次国家社科基金艺术学重大项目。</w:t>
      </w:r>
    </w:p>
    <w:p w14:paraId="6C80853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3.投标人只能投标一个项目，且不能作为子课题负责人或课题组成员参与本次投标的其他课题。子课题负责人须具有副高级（含）以上职称，在本次招标中只能参与一个投标课题，已担任2个在研的国家社科基金重大项目的子课题负责人不得参与本次投标。课题组成员最多参与两个投标项目。在研的国家社科基金重大项目、重大研究专项项目及教育部哲学社会科学研究重大课题攻关项目的负责人，不得作为子课题负责人参与本次投标。</w:t>
      </w:r>
    </w:p>
    <w:p w14:paraId="5A6AFFC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4.首席专家对投标项目负统筹协调的首要责任，能够担负科研组织指导职责，每年须举办至少2次核心人员研讨会或相关学术活动，首席专家及子课题负责人须承担实质性研究工作。</w:t>
      </w:r>
    </w:p>
    <w:p w14:paraId="01E4CC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5.文化和旅游部机关工作人员不能申请或者参与申请国家社科基金艺术学重大项目。</w:t>
      </w:r>
    </w:p>
    <w:p w14:paraId="17BC17D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六、投标课题要求</w:t>
      </w:r>
    </w:p>
    <w:p w14:paraId="230DC5C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1.投标人须按照本《招标公告》发布的招标选题（附后）投标，自选课题不予受理。《投标书》要突出课题论证设计部分，重点介绍总体研究框架和预期目标，课题研究思路、研究重点和创新之处，简要介绍研究综述、子课题负责人情况等内容。</w:t>
      </w:r>
    </w:p>
    <w:p w14:paraId="0E50E18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14:paraId="098B9E8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3.投标人须提交3篇与申报选题研究领域相关的代表性成果（论文或专著简介），作为评审立项的重要参考。</w:t>
      </w:r>
    </w:p>
    <w:p w14:paraId="5D1BCFD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4.投标课题组要熟知国内外相关领域研究前沿动态，具备扎实的研究基础和丰富的相关前期研究成果。除必要的学术史梳理或综述外，应着重阐明本课题设计相对于已有研究的独到学术价值、应用价值和社会意义。</w:t>
      </w:r>
    </w:p>
    <w:p w14:paraId="4A77322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5.投标课题组要树立鲜明的问题意识和创新意识，在框架设计、研究思路、主要内容、基本观点、研究方法等方面，体现创新的学术思想、独到的学术见解和可能取得的突破。</w:t>
      </w:r>
    </w:p>
    <w:p w14:paraId="4B5279C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6.项目完成时间根据研究工作的实际需要确定，一般应在3—5年完成，以“*”标注选题研究周期不超过3年，原则上不得延期。</w:t>
      </w:r>
    </w:p>
    <w:p w14:paraId="5D61F6D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7.预期研究成果的规模和数量应科学合理，确保质量和学术水准，多出精品力作；最终成果为大型文献典籍整理、多卷本专著、系列丛书等形式的，应注意编纂体例的科学性和统一性；最终成果含专题数据库（语料库）的，要坚持公益共享原则，结项验收时须实现线上开放使用功能。</w:t>
      </w:r>
    </w:p>
    <w:p w14:paraId="2191A8C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七、投标纪律要求</w:t>
      </w:r>
    </w:p>
    <w:p w14:paraId="6CC96D6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1.责任单位和投标人要加强审核，切实把好政治方向关和学术质量关。各省（区、市）艺术科学规划领导小组办公室或文化和旅游厅（局）艺术科研管理部门作为省级管理机构要从课题设计、课题论证、首席专家、前期研究成果、科研团队和责任单位等方面进行资格审查，合格的予以上报。</w:t>
      </w:r>
    </w:p>
    <w:p w14:paraId="072F480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2.投标人要弘扬崇尚精品、严谨治学、注重诚信、讲求责任的优良学风，自觉坚持公平竞争的原则，严格遵守国家社科基金项目管理规定。凡有弄虚作假、抄袭剽窃、违规违纪等行为的，一经查实即取消参评资格，5年内不得申报国家社科基金艺术学项目，同时通报批评，并责成所在单位依规进行处分，如获立项，一律撤项，并列入不良科研信用记录。</w:t>
      </w:r>
    </w:p>
    <w:p w14:paraId="4BAC168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3.子课题负责人和课题组成员须为课题研究的实际参与者，且须征得本人同意，否则视为违规申报。如获中标，首席专家要兑现投标时承诺，确保子课题负责人有充足的时间精力投入研究，原则上子课题负责人不得变更。</w:t>
      </w:r>
    </w:p>
    <w:p w14:paraId="564238B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4.投标人可提出2名以内建议回避评审专家，全国艺术科学规划办将根据评审工作的实际情况予以考虑。</w:t>
      </w:r>
    </w:p>
    <w:p w14:paraId="6AC313C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八、申报程序和时间安排</w:t>
      </w:r>
    </w:p>
    <w:p w14:paraId="784FB6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1.2025年国家社科基金艺术学重大项目实行网上申报，不接受纸质投标材料。请投标人登录全国艺术科学规划项目管理平台（以下简称项目管理平台，网址：https://yskx.mct.gov.cn），按照有关说明注册帐号并提交材料。</w:t>
      </w:r>
    </w:p>
    <w:p w14:paraId="1AC6872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2.全国艺术科学规划办不直接受理投标，委托中国艺术科技研究所承担投标材料的受理工作。</w:t>
      </w:r>
    </w:p>
    <w:p w14:paraId="5F26C51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3.除文化和旅游部直属单位及共建院校外，国家社科基金艺术学重大项目实行三级申报制度。投标课题经责任单位、省级管理机构、中国艺术科技研究所审核后提交至全国艺术科学规划办；文化和旅游部直属单位及共建院校实行二级申报制度，投标课题经责任单位、中国艺术科技研究所审核后提交至全国艺术科学规划办。</w:t>
      </w:r>
    </w:p>
    <w:p w14:paraId="40FD0A7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4.投标人及责任单位（含文化和旅游部直属单位及共建院校）网上集中填报投标课题和审核提交时间为2025年3月10日至4月10日，逾期项目管理平台自动关闭，不再受理申报及审核。省级管理机构网上审核提交时间为4月11日至4月18日。各省级管理机构、文化和旅游部直属单位及共建院校完成本级审核及提交后，要将生成的本地区（本单位）项目汇总表打印盖章后报送至中国艺术科技研究所全国艺术科学规划项目管理中心，确保数据的真实性、完整性和一致性。请严格按照以上时间要求填报投标材料、审核，因错过受理时间、未按要求操作造成的责任由相关人员自行承担。</w:t>
      </w:r>
    </w:p>
    <w:p w14:paraId="1EFDC8D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5.全国艺术科学规划办将对投标课题进行资格审查，并组织专家对通过资格审查的投标课题进行评审，提出建议中标课题名单。</w:t>
      </w:r>
    </w:p>
    <w:p w14:paraId="685D716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6.建议中标课题将在文化和旅游部门户网站及相关媒体公示7天，公示期满，对无异议项目下达立项通知书。</w:t>
      </w:r>
    </w:p>
    <w:p w14:paraId="0A64CB7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邮寄地址：北京市东城区雍和宫大街戏楼胡同1号中国艺术科技研究所全国艺术科学规划项目管理中心</w:t>
      </w:r>
    </w:p>
    <w:p w14:paraId="5A7E4E1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邮政编码：100007</w:t>
      </w:r>
    </w:p>
    <w:p w14:paraId="52D4C8D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咨询电话：010-87930753</w:t>
      </w:r>
    </w:p>
    <w:p w14:paraId="028D9E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邮箱：qgyskxghb@163.com（请优先通过邮箱咨询申报问题）</w:t>
      </w:r>
    </w:p>
    <w:p w14:paraId="66AA8E6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特此公告。</w:t>
      </w:r>
    </w:p>
    <w:p w14:paraId="14AD3D7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p>
    <w:p w14:paraId="5544AA4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w:t>
      </w:r>
    </w:p>
    <w:p w14:paraId="6D59D52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文化和旅游部科技教育司  </w:t>
      </w:r>
    </w:p>
    <w:p w14:paraId="315D964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全国艺术科学规划领导小组办公室</w:t>
      </w:r>
    </w:p>
    <w:p w14:paraId="01A162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jc w:val="right"/>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bdr w:val="none" w:color="auto" w:sz="0" w:space="0"/>
        </w:rPr>
        <w:t>　　2025年2月28日</w:t>
      </w:r>
    </w:p>
    <w:p w14:paraId="48C8EC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8BF2237"/>
    <w:rsid w:val="28BF2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2025-03-10T01:28:00Z</dcterms:created>
  <dc:creator>Administrator</dc:creator>
  <cp:lastModifiedBy>Administrator</cp:lastModifiedBy>
  <dcterms:modified xsi:type="dcterms:W3CDTF">2025-03-10T01:28:30Z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C585DF344F354E7BABB119E0333F8BCB_11</vt:lpwstr>
  </property>
</Properties>
</file>